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2E3021E2">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4B134B35" w:rsidR="004E3BC3" w:rsidRPr="000976B6" w:rsidRDefault="000976B6" w:rsidP="00B232D3">
                  <w:pPr>
                    <w:rPr>
                      <w:rFonts w:ascii="Arial" w:hAnsi="Arial" w:cs="Arial"/>
                      <w:b/>
                      <w:bCs/>
                      <w:iCs/>
                      <w:sz w:val="22"/>
                      <w:szCs w:val="22"/>
                    </w:rPr>
                  </w:pPr>
                  <w:r w:rsidRPr="000976B6">
                    <w:rPr>
                      <w:rFonts w:ascii="Arial" w:hAnsi="Arial" w:cs="Arial"/>
                      <w:b/>
                      <w:bCs/>
                      <w:iCs/>
                      <w:sz w:val="22"/>
                      <w:szCs w:val="22"/>
                    </w:rPr>
                    <w:t>Tea</w:t>
                  </w:r>
                  <w:r>
                    <w:rPr>
                      <w:rFonts w:ascii="Arial" w:hAnsi="Arial" w:cs="Arial"/>
                      <w:b/>
                      <w:bCs/>
                      <w:iCs/>
                      <w:sz w:val="22"/>
                      <w:szCs w:val="22"/>
                    </w:rPr>
                    <w:t>cher of Spanish &amp; French</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2801A7"/>
    <w:rsid w:val="002E47E2"/>
    <w:rsid w:val="00376BB1"/>
    <w:rsid w:val="003F3BC7"/>
    <w:rsid w:val="004E3BC3"/>
    <w:rsid w:val="00511849"/>
    <w:rsid w:val="005338E7"/>
    <w:rsid w:val="005E44B5"/>
    <w:rsid w:val="006E55E4"/>
    <w:rsid w:val="00852A9C"/>
    <w:rsid w:val="00AE0722"/>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Sara Phillips</cp:lastModifiedBy>
  <cp:revision>2</cp:revision>
  <dcterms:created xsi:type="dcterms:W3CDTF">2024-04-25T11:35:00Z</dcterms:created>
  <dcterms:modified xsi:type="dcterms:W3CDTF">2024-04-25T11:35:00Z</dcterms:modified>
</cp:coreProperties>
</file>