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51F41CE0">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51A6E8AD" w14:textId="77777777" w:rsidR="0004052B" w:rsidRDefault="0004052B" w:rsidP="00BF2986">
            <w:pPr>
              <w:rPr>
                <w:rFonts w:ascii="Arial" w:hAnsi="Arial" w:cs="Arial"/>
                <w:iCs/>
                <w:sz w:val="22"/>
                <w:szCs w:val="22"/>
              </w:rPr>
            </w:pPr>
            <w:r>
              <w:rPr>
                <w:rFonts w:ascii="Arial" w:hAnsi="Arial" w:cs="Arial"/>
                <w:iCs/>
                <w:sz w:val="22"/>
                <w:szCs w:val="22"/>
              </w:rPr>
              <w:t>Deputy Headteacher</w:t>
            </w:r>
          </w:p>
          <w:p w14:paraId="100BF021" w14:textId="75301BC9" w:rsidR="00FE31DA" w:rsidRPr="0004052B" w:rsidRDefault="0004052B" w:rsidP="00BF2986">
            <w:pPr>
              <w:rPr>
                <w:rFonts w:ascii="Arial" w:hAnsi="Arial" w:cs="Arial"/>
                <w:i/>
                <w:sz w:val="22"/>
                <w:szCs w:val="22"/>
              </w:rPr>
            </w:pPr>
            <w:r w:rsidRPr="0004052B">
              <w:rPr>
                <w:rFonts w:ascii="Arial" w:hAnsi="Arial" w:cs="Arial"/>
                <w:i/>
                <w:sz w:val="22"/>
                <w:szCs w:val="22"/>
              </w:rPr>
              <w:t>Behaviour, Safeguarding &amp; Student Wellbeing</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37696D32" w:rsidR="00FE31DA" w:rsidRPr="009669A0" w:rsidRDefault="00B43A35" w:rsidP="00BF2986">
            <w:pPr>
              <w:rPr>
                <w:rFonts w:ascii="Arial" w:hAnsi="Arial" w:cs="Arial"/>
                <w:b/>
                <w:iCs/>
                <w:sz w:val="22"/>
                <w:szCs w:val="22"/>
              </w:rPr>
            </w:pPr>
            <w:r>
              <w:rPr>
                <w:rFonts w:ascii="Arial" w:hAnsi="Arial" w:cs="Arial"/>
                <w:b/>
                <w:iCs/>
                <w:sz w:val="22"/>
                <w:szCs w:val="22"/>
              </w:rPr>
              <w:t xml:space="preserve">Monday </w:t>
            </w:r>
            <w:r w:rsidR="0004052B">
              <w:rPr>
                <w:rFonts w:ascii="Arial" w:hAnsi="Arial" w:cs="Arial"/>
                <w:b/>
                <w:iCs/>
                <w:sz w:val="22"/>
                <w:szCs w:val="22"/>
              </w:rPr>
              <w:t>24</w:t>
            </w:r>
            <w:r w:rsidR="0004052B" w:rsidRPr="0004052B">
              <w:rPr>
                <w:rFonts w:ascii="Arial" w:hAnsi="Arial" w:cs="Arial"/>
                <w:b/>
                <w:iCs/>
                <w:sz w:val="22"/>
                <w:szCs w:val="22"/>
                <w:vertAlign w:val="superscript"/>
              </w:rPr>
              <w:t>th</w:t>
            </w:r>
            <w:r w:rsidR="0004052B">
              <w:rPr>
                <w:rFonts w:ascii="Arial" w:hAnsi="Arial" w:cs="Arial"/>
                <w:b/>
                <w:iCs/>
                <w:sz w:val="22"/>
                <w:szCs w:val="22"/>
              </w:rPr>
              <w:t xml:space="preserve"> February 2025 at 3pm</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2"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4052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51DF9"/>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46135"/>
    <w:rsid w:val="004523E9"/>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2851"/>
    <w:rsid w:val="006C5DA5"/>
    <w:rsid w:val="006D153E"/>
    <w:rsid w:val="006D1A0A"/>
    <w:rsid w:val="006D2DCA"/>
    <w:rsid w:val="006E329E"/>
    <w:rsid w:val="006F77EF"/>
    <w:rsid w:val="007043B9"/>
    <w:rsid w:val="00733DC6"/>
    <w:rsid w:val="00754EEE"/>
    <w:rsid w:val="007843AB"/>
    <w:rsid w:val="007952A1"/>
    <w:rsid w:val="007960AF"/>
    <w:rsid w:val="00796B6B"/>
    <w:rsid w:val="00797529"/>
    <w:rsid w:val="007A1158"/>
    <w:rsid w:val="007A26F1"/>
    <w:rsid w:val="007B5818"/>
    <w:rsid w:val="007C150F"/>
    <w:rsid w:val="007C465D"/>
    <w:rsid w:val="007C7079"/>
    <w:rsid w:val="007D16EE"/>
    <w:rsid w:val="007F696F"/>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3A35"/>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4298"/>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50C60"/>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72440"/>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1.jpg@01D8DD5F.EC2096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1086</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7843</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2024-12-09T09:49:00Z</cp:lastPrinted>
  <dcterms:created xsi:type="dcterms:W3CDTF">2025-02-07T10:03:00Z</dcterms:created>
  <dcterms:modified xsi:type="dcterms:W3CDTF">2025-02-07T10:05:00Z</dcterms:modified>
</cp:coreProperties>
</file>